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563" w:rsidRDefault="0041167A" w:rsidP="00177563">
      <w:pPr>
        <w:jc w:val="center"/>
        <w:rPr>
          <w:rFonts w:ascii="Arial" w:hAnsi="Arial" w:cs="Arial"/>
          <w:b/>
          <w:bCs/>
          <w:color w:val="DA291C"/>
          <w:sz w:val="36"/>
          <w:szCs w:val="36"/>
        </w:rPr>
      </w:pPr>
      <w:r>
        <w:rPr>
          <w:rFonts w:ascii="Arial" w:hAnsi="Arial" w:cs="Arial"/>
          <w:b/>
          <w:bCs/>
          <w:noProof/>
          <w:color w:val="DA291C"/>
          <w:sz w:val="36"/>
          <w:szCs w:val="36"/>
        </w:rPr>
        <w:pict>
          <v:rect id="Rectangle 10" o:spid="_x0000_s1026" style="position:absolute;left:0;text-align:left;margin-left:-38.2pt;margin-top:-19.5pt;width:19.5pt;height:612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" fillcolor="#da291c" stroked="f" strokeweight="2pt"/>
        </w:pict>
      </w:r>
      <w:r w:rsidR="00A34B42">
        <w:rPr>
          <w:rFonts w:ascii="Times New Roman" w:hAnsi="Times New Roman"/>
          <w:b/>
          <w:noProof/>
          <w:sz w:val="28"/>
          <w:szCs w:val="28"/>
        </w:rPr>
        <w:drawing>
          <wp:anchor distT="0" distB="0" distL="114300" distR="114300" simplePos="0" relativeHeight="251664384" behindDoc="0" locked="0" layoutInCell="1" allowOverlap="1">
            <wp:simplePos x="0" y="0"/>
            <wp:positionH relativeFrom="column">
              <wp:posOffset>2924175</wp:posOffset>
            </wp:positionH>
            <wp:positionV relativeFrom="paragraph">
              <wp:posOffset>57150</wp:posOffset>
            </wp:positionV>
            <wp:extent cx="1400175" cy="11144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67280803.jpg"/>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6435"/>
                    <a:stretch/>
                  </pic:blipFill>
                  <pic:spPr bwMode="auto">
                    <a:xfrm>
                      <a:off x="0" y="0"/>
                      <a:ext cx="1400175" cy="1114425"/>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3177E2">
        <w:rPr>
          <w:rFonts w:ascii="Arial" w:hAnsi="Arial" w:cs="Arial"/>
          <w:b/>
          <w:bCs/>
          <w:noProof/>
          <w:color w:val="DA291C"/>
          <w:sz w:val="16"/>
          <w:szCs w:val="16"/>
        </w:rPr>
        <w:drawing>
          <wp:anchor distT="0" distB="0" distL="114300" distR="114300" simplePos="0" relativeHeight="251659264" behindDoc="0" locked="0" layoutInCell="1" allowOverlap="1">
            <wp:simplePos x="0" y="0"/>
            <wp:positionH relativeFrom="column">
              <wp:posOffset>4400550</wp:posOffset>
            </wp:positionH>
            <wp:positionV relativeFrom="paragraph">
              <wp:posOffset>57150</wp:posOffset>
            </wp:positionV>
            <wp:extent cx="1120775" cy="1114425"/>
            <wp:effectExtent l="0" t="0" r="317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496825.jpg"/>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5478"/>
                    <a:stretch/>
                  </pic:blipFill>
                  <pic:spPr bwMode="auto">
                    <a:xfrm>
                      <a:off x="0" y="0"/>
                      <a:ext cx="1120775" cy="1114425"/>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3177E2">
        <w:rPr>
          <w:rFonts w:ascii="Arial" w:hAnsi="Arial" w:cs="Arial"/>
          <w:b/>
          <w:bCs/>
          <w:noProof/>
          <w:color w:val="DA291C"/>
          <w:sz w:val="16"/>
          <w:szCs w:val="16"/>
        </w:rPr>
        <w:drawing>
          <wp:anchor distT="0" distB="0" distL="114300" distR="114300" simplePos="0" relativeHeight="251660288" behindDoc="0" locked="0" layoutInCell="1" allowOverlap="1">
            <wp:simplePos x="0" y="0"/>
            <wp:positionH relativeFrom="column">
              <wp:posOffset>5590540</wp:posOffset>
            </wp:positionH>
            <wp:positionV relativeFrom="paragraph">
              <wp:posOffset>57150</wp:posOffset>
            </wp:positionV>
            <wp:extent cx="1247775" cy="11144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696231.jp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105" r="12251"/>
                    <a:stretch/>
                  </pic:blipFill>
                  <pic:spPr bwMode="auto">
                    <a:xfrm>
                      <a:off x="0" y="0"/>
                      <a:ext cx="1247775" cy="1114425"/>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3177E2">
        <w:rPr>
          <w:rFonts w:ascii="Arial" w:hAnsi="Arial" w:cs="Arial"/>
          <w:b/>
          <w:bCs/>
          <w:noProof/>
          <w:color w:val="DA291C"/>
          <w:sz w:val="36"/>
          <w:szCs w:val="36"/>
        </w:rPr>
        <w:drawing>
          <wp:anchor distT="0" distB="0" distL="114300" distR="114300" simplePos="0" relativeHeight="251658240" behindDoc="0" locked="0" layoutInCell="1" allowOverlap="1">
            <wp:simplePos x="0" y="0"/>
            <wp:positionH relativeFrom="column">
              <wp:posOffset>-28575</wp:posOffset>
            </wp:positionH>
            <wp:positionV relativeFrom="paragraph">
              <wp:posOffset>109220</wp:posOffset>
            </wp:positionV>
            <wp:extent cx="2326640"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t_assoc_logo_tag_a_rgb.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26640" cy="1066800"/>
                    </a:xfrm>
                    <a:prstGeom prst="rect">
                      <a:avLst/>
                    </a:prstGeom>
                  </pic:spPr>
                </pic:pic>
              </a:graphicData>
            </a:graphic>
          </wp:anchor>
        </w:drawing>
      </w:r>
    </w:p>
    <w:p w:rsidR="00177563" w:rsidRDefault="00177563" w:rsidP="00177563">
      <w:pPr>
        <w:jc w:val="center"/>
        <w:rPr>
          <w:rFonts w:ascii="Arial" w:hAnsi="Arial" w:cs="Arial"/>
          <w:b/>
          <w:bCs/>
          <w:color w:val="DA291C"/>
          <w:sz w:val="36"/>
          <w:szCs w:val="36"/>
        </w:rPr>
      </w:pPr>
    </w:p>
    <w:p w:rsidR="00177563" w:rsidRDefault="00177563" w:rsidP="00177563">
      <w:pPr>
        <w:jc w:val="center"/>
        <w:rPr>
          <w:rFonts w:ascii="Arial" w:hAnsi="Arial" w:cs="Arial"/>
          <w:b/>
          <w:bCs/>
          <w:color w:val="DA291C"/>
          <w:sz w:val="36"/>
          <w:szCs w:val="36"/>
        </w:rPr>
      </w:pPr>
    </w:p>
    <w:p w:rsidR="00177563" w:rsidRPr="00177563" w:rsidRDefault="00177563" w:rsidP="00177563">
      <w:pPr>
        <w:tabs>
          <w:tab w:val="left" w:pos="4830"/>
        </w:tabs>
        <w:spacing w:after="0"/>
        <w:rPr>
          <w:rFonts w:ascii="Arial" w:hAnsi="Arial" w:cs="Arial"/>
          <w:b/>
          <w:bCs/>
          <w:color w:val="DA291C"/>
          <w:sz w:val="16"/>
          <w:szCs w:val="16"/>
        </w:rPr>
      </w:pPr>
      <w:r>
        <w:rPr>
          <w:rFonts w:ascii="Arial" w:hAnsi="Arial" w:cs="Arial"/>
          <w:b/>
          <w:bCs/>
          <w:color w:val="DA291C"/>
          <w:sz w:val="36"/>
          <w:szCs w:val="36"/>
        </w:rPr>
        <w:tab/>
      </w:r>
    </w:p>
    <w:p w:rsidR="00531FCA" w:rsidRPr="00177563" w:rsidRDefault="00531FCA" w:rsidP="00177563">
      <w:pPr>
        <w:jc w:val="center"/>
        <w:rPr>
          <w:rFonts w:ascii="Arial" w:hAnsi="Arial" w:cs="Arial"/>
          <w:color w:val="DA291C"/>
          <w:sz w:val="36"/>
          <w:szCs w:val="36"/>
        </w:rPr>
      </w:pPr>
      <w:r w:rsidRPr="00177563">
        <w:rPr>
          <w:rFonts w:ascii="Arial" w:hAnsi="Arial" w:cs="Arial"/>
          <w:b/>
          <w:bCs/>
          <w:color w:val="DA291C"/>
          <w:sz w:val="36"/>
          <w:szCs w:val="36"/>
        </w:rPr>
        <w:t>The Intersection of Housing Policy and Health</w:t>
      </w:r>
    </w:p>
    <w:p w:rsidR="00531FCA" w:rsidRPr="00177563" w:rsidRDefault="00531FCA" w:rsidP="00531FCA">
      <w:pPr>
        <w:rPr>
          <w:rFonts w:ascii="Times New Roman" w:hAnsi="Times New Roman"/>
          <w:b/>
          <w:sz w:val="28"/>
          <w:szCs w:val="28"/>
        </w:rPr>
      </w:pPr>
      <w:r w:rsidRPr="00177563">
        <w:rPr>
          <w:rFonts w:ascii="Times New Roman" w:hAnsi="Times New Roman"/>
          <w:b/>
          <w:i/>
          <w:iCs/>
          <w:sz w:val="28"/>
          <w:szCs w:val="28"/>
        </w:rPr>
        <w:t>Olmstead is the Mandate, ACA the Opportunity</w:t>
      </w:r>
    </w:p>
    <w:p w:rsidR="00531FCA" w:rsidRPr="00177563" w:rsidRDefault="00531FCA" w:rsidP="00531FCA">
      <w:pPr>
        <w:spacing w:after="0" w:line="240" w:lineRule="auto"/>
        <w:rPr>
          <w:rFonts w:ascii="Arial" w:hAnsi="Arial" w:cs="Arial"/>
        </w:rPr>
      </w:pPr>
      <w:r w:rsidRPr="00177563">
        <w:rPr>
          <w:rFonts w:ascii="Arial" w:hAnsi="Arial" w:cs="Arial"/>
        </w:rPr>
        <w:t>Throughout the nation, states and communities are working together to meet the mandate of the Supreme Court’s Olmstead decision to help people with disabilities live in the community, rather than in institutions. At the same time, implementation of the Affordable Care Act provides opportunities for states</w:t>
      </w:r>
      <w:r w:rsidR="009A0BC5">
        <w:rPr>
          <w:rFonts w:ascii="Arial" w:hAnsi="Arial" w:cs="Arial"/>
        </w:rPr>
        <w:t xml:space="preserve"> to create new options for home </w:t>
      </w:r>
      <w:r w:rsidR="00AC0A66">
        <w:rPr>
          <w:rFonts w:ascii="Arial" w:hAnsi="Arial" w:cs="Arial"/>
        </w:rPr>
        <w:t xml:space="preserve">and </w:t>
      </w:r>
      <w:bookmarkStart w:id="0" w:name="_GoBack"/>
      <w:bookmarkEnd w:id="0"/>
      <w:r w:rsidRPr="00177563">
        <w:rPr>
          <w:rFonts w:ascii="Arial" w:hAnsi="Arial" w:cs="Arial"/>
        </w:rPr>
        <w:t xml:space="preserve">community-based services under the Medicaid </w:t>
      </w:r>
      <w:r w:rsidR="009A0BC5">
        <w:rPr>
          <w:rFonts w:ascii="Arial" w:hAnsi="Arial" w:cs="Arial"/>
        </w:rPr>
        <w:t>program</w:t>
      </w:r>
      <w:r w:rsidRPr="00177563">
        <w:rPr>
          <w:rFonts w:ascii="Arial" w:hAnsi="Arial" w:cs="Arial"/>
        </w:rPr>
        <w:t>. Olmstead implementation that employs new financing opportunities will require better coordination and integration across the health and housing sectors for people with complex needs.</w:t>
      </w:r>
    </w:p>
    <w:p w:rsidR="00531FCA" w:rsidRPr="00177563" w:rsidRDefault="00531FCA" w:rsidP="00531FCA">
      <w:pPr>
        <w:spacing w:after="0" w:line="240" w:lineRule="auto"/>
        <w:rPr>
          <w:rFonts w:ascii="Arial" w:hAnsi="Arial" w:cs="Arial"/>
        </w:rPr>
      </w:pPr>
      <w:r w:rsidRPr="00177563">
        <w:rPr>
          <w:rFonts w:ascii="Arial" w:hAnsi="Arial" w:cs="Arial"/>
        </w:rPr>
        <w:t> </w:t>
      </w:r>
    </w:p>
    <w:p w:rsidR="00731F59" w:rsidRPr="00177563" w:rsidRDefault="003177E2" w:rsidP="00DA491E">
      <w:pPr>
        <w:spacing w:after="240" w:line="240" w:lineRule="auto"/>
        <w:rPr>
          <w:rFonts w:ascii="Arial" w:hAnsi="Arial" w:cs="Arial"/>
          <w:sz w:val="24"/>
          <w:szCs w:val="24"/>
        </w:rPr>
      </w:pPr>
      <w:r>
        <w:rPr>
          <w:rFonts w:ascii="Arial" w:hAnsi="Arial" w:cs="Arial"/>
          <w:noProof/>
        </w:rPr>
        <w:drawing>
          <wp:anchor distT="0" distB="0" distL="114300" distR="114300" simplePos="0" relativeHeight="251662336" behindDoc="1" locked="0" layoutInCell="1" allowOverlap="1">
            <wp:simplePos x="0" y="0"/>
            <wp:positionH relativeFrom="column">
              <wp:posOffset>4324985</wp:posOffset>
            </wp:positionH>
            <wp:positionV relativeFrom="paragraph">
              <wp:posOffset>507365</wp:posOffset>
            </wp:positionV>
            <wp:extent cx="2981325" cy="461200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t_geo_icon_423_size_2.png"/>
                    <pic:cNvPicPr/>
                  </pic:nvPicPr>
                  <pic:blipFill rotWithShape="1">
                    <a:blip r:embed="rId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brightnessContrast bright="2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5359"/>
                    <a:stretch/>
                  </pic:blipFill>
                  <pic:spPr bwMode="auto">
                    <a:xfrm>
                      <a:off x="0" y="0"/>
                      <a:ext cx="2981325" cy="46120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531FCA" w:rsidRPr="00177563">
        <w:rPr>
          <w:rFonts w:ascii="Arial" w:hAnsi="Arial" w:cs="Arial"/>
        </w:rPr>
        <w:t xml:space="preserve">Join Abt Associates and some of the nation’s leading experts from federal </w:t>
      </w:r>
      <w:r w:rsidR="009A0BC5">
        <w:rPr>
          <w:rFonts w:ascii="Arial" w:hAnsi="Arial" w:cs="Arial"/>
        </w:rPr>
        <w:t xml:space="preserve">and state agencies </w:t>
      </w:r>
      <w:r w:rsidR="00531FCA" w:rsidRPr="00177563">
        <w:rPr>
          <w:rFonts w:ascii="Arial" w:hAnsi="Arial" w:cs="Arial"/>
        </w:rPr>
        <w:t>and policy organizations for a webinar to explore ways that community-based housing linked to health services can better serve the most vulnerable populations.</w:t>
      </w:r>
    </w:p>
    <w:p w:rsidR="00050D87" w:rsidRPr="003177E2" w:rsidRDefault="00DA491E" w:rsidP="003177E2">
      <w:pPr>
        <w:spacing w:after="240" w:line="240" w:lineRule="auto"/>
        <w:ind w:left="806" w:hanging="806"/>
        <w:rPr>
          <w:rFonts w:ascii="Arial" w:hAnsi="Arial" w:cs="Arial"/>
        </w:rPr>
      </w:pPr>
      <w:r w:rsidRPr="003177E2">
        <w:rPr>
          <w:rFonts w:ascii="Arial" w:hAnsi="Arial" w:cs="Arial"/>
          <w:b/>
          <w:color w:val="DA291C"/>
        </w:rPr>
        <w:t>When:</w:t>
      </w:r>
      <w:r w:rsidRPr="003177E2">
        <w:rPr>
          <w:rFonts w:ascii="Arial" w:hAnsi="Arial" w:cs="Arial"/>
          <w:color w:val="DA291C"/>
        </w:rPr>
        <w:t xml:space="preserve"> </w:t>
      </w:r>
      <w:r w:rsidR="00177563" w:rsidRPr="003177E2">
        <w:rPr>
          <w:rFonts w:ascii="Arial" w:hAnsi="Arial" w:cs="Arial"/>
          <w:color w:val="DA291C"/>
        </w:rPr>
        <w:tab/>
      </w:r>
      <w:r w:rsidR="00050D87" w:rsidRPr="003177E2">
        <w:rPr>
          <w:rFonts w:ascii="Arial" w:hAnsi="Arial" w:cs="Arial"/>
          <w:b/>
        </w:rPr>
        <w:t>January 24, 2014</w:t>
      </w:r>
      <w:r w:rsidR="00177563" w:rsidRPr="003177E2">
        <w:rPr>
          <w:rFonts w:ascii="Arial" w:hAnsi="Arial" w:cs="Arial"/>
          <w:b/>
        </w:rPr>
        <w:t xml:space="preserve"> – </w:t>
      </w:r>
      <w:r w:rsidR="00050D87" w:rsidRPr="003177E2">
        <w:rPr>
          <w:rFonts w:ascii="Arial" w:hAnsi="Arial" w:cs="Arial"/>
          <w:b/>
        </w:rPr>
        <w:t>12:30-2:00 EST</w:t>
      </w:r>
      <w:r w:rsidR="00CA60DB" w:rsidRPr="003177E2">
        <w:rPr>
          <w:rFonts w:ascii="Arial" w:hAnsi="Arial" w:cs="Arial"/>
          <w:b/>
        </w:rPr>
        <w:t xml:space="preserve"> (9:30-11 PST)</w:t>
      </w:r>
    </w:p>
    <w:p w:rsidR="00DA491E" w:rsidRPr="00177563" w:rsidRDefault="00050D87" w:rsidP="00177563">
      <w:pPr>
        <w:spacing w:after="0" w:line="240" w:lineRule="auto"/>
        <w:rPr>
          <w:rFonts w:ascii="Arial" w:hAnsi="Arial" w:cs="Arial"/>
          <w:b/>
          <w:color w:val="DA291C"/>
        </w:rPr>
      </w:pPr>
      <w:r w:rsidRPr="00177563">
        <w:rPr>
          <w:rFonts w:ascii="Arial" w:hAnsi="Arial" w:cs="Arial"/>
          <w:b/>
          <w:color w:val="DA291C"/>
        </w:rPr>
        <w:t xml:space="preserve">Who: </w:t>
      </w:r>
    </w:p>
    <w:p w:rsidR="00050D87" w:rsidRPr="00177563" w:rsidRDefault="00E73130" w:rsidP="00177563">
      <w:pPr>
        <w:pStyle w:val="ListParagraph"/>
        <w:numPr>
          <w:ilvl w:val="0"/>
          <w:numId w:val="3"/>
        </w:numPr>
        <w:spacing w:after="40" w:line="240" w:lineRule="auto"/>
        <w:ind w:left="1080" w:hanging="274"/>
        <w:contextualSpacing w:val="0"/>
        <w:rPr>
          <w:rFonts w:ascii="Arial" w:hAnsi="Arial" w:cs="Arial"/>
          <w:b/>
        </w:rPr>
      </w:pPr>
      <w:r w:rsidRPr="00177563">
        <w:rPr>
          <w:rFonts w:ascii="Arial" w:hAnsi="Arial" w:cs="Arial"/>
          <w:b/>
        </w:rPr>
        <w:t>Alison Barkoff</w:t>
      </w:r>
      <w:r w:rsidR="00DA2B74" w:rsidRPr="00177563">
        <w:rPr>
          <w:rFonts w:ascii="Arial" w:hAnsi="Arial" w:cs="Arial"/>
        </w:rPr>
        <w:t xml:space="preserve">, </w:t>
      </w:r>
      <w:r w:rsidR="00DA2B74" w:rsidRPr="00177563">
        <w:rPr>
          <w:rFonts w:ascii="Arial" w:hAnsi="Arial" w:cs="Arial"/>
          <w:shd w:val="clear" w:color="auto" w:fill="FFFFFF"/>
        </w:rPr>
        <w:t>Special Counsel for Olmstead Enforcement in the Civil Rights Division of the Department of Justice.</w:t>
      </w:r>
    </w:p>
    <w:p w:rsidR="00E73130" w:rsidRPr="00177563" w:rsidRDefault="00E73130" w:rsidP="00177563">
      <w:pPr>
        <w:pStyle w:val="ListParagraph"/>
        <w:numPr>
          <w:ilvl w:val="0"/>
          <w:numId w:val="3"/>
        </w:numPr>
        <w:spacing w:after="40" w:line="240" w:lineRule="auto"/>
        <w:ind w:left="1080" w:hanging="274"/>
        <w:contextualSpacing w:val="0"/>
        <w:rPr>
          <w:rFonts w:ascii="Arial" w:hAnsi="Arial" w:cs="Arial"/>
          <w:b/>
        </w:rPr>
      </w:pPr>
      <w:r w:rsidRPr="00177563">
        <w:rPr>
          <w:rFonts w:ascii="Arial" w:hAnsi="Arial" w:cs="Arial"/>
          <w:b/>
        </w:rPr>
        <w:t>Dan Burke</w:t>
      </w:r>
      <w:r w:rsidRPr="00177563">
        <w:rPr>
          <w:rFonts w:ascii="Arial" w:hAnsi="Arial" w:cs="Arial"/>
        </w:rPr>
        <w:t>, Director, Chicago Multifamily HUB, U.S. Dept. of Housing and Urban Development</w:t>
      </w:r>
    </w:p>
    <w:p w:rsidR="00E73130" w:rsidRPr="00177563" w:rsidRDefault="00E73130" w:rsidP="00177563">
      <w:pPr>
        <w:pStyle w:val="ListParagraph"/>
        <w:numPr>
          <w:ilvl w:val="0"/>
          <w:numId w:val="3"/>
        </w:numPr>
        <w:spacing w:after="40" w:line="240" w:lineRule="auto"/>
        <w:ind w:left="1080" w:hanging="274"/>
        <w:contextualSpacing w:val="0"/>
        <w:rPr>
          <w:rFonts w:ascii="Arial" w:hAnsi="Arial" w:cs="Arial"/>
          <w:b/>
        </w:rPr>
      </w:pPr>
      <w:r w:rsidRPr="00177563">
        <w:rPr>
          <w:rFonts w:ascii="Arial" w:hAnsi="Arial" w:cs="Arial"/>
          <w:b/>
        </w:rPr>
        <w:t>Jill Khadduri</w:t>
      </w:r>
      <w:r w:rsidRPr="00177563">
        <w:rPr>
          <w:rFonts w:ascii="Arial" w:hAnsi="Arial" w:cs="Arial"/>
        </w:rPr>
        <w:t xml:space="preserve">, </w:t>
      </w:r>
      <w:r w:rsidR="00792171" w:rsidRPr="00177563">
        <w:rPr>
          <w:rFonts w:ascii="Arial" w:hAnsi="Arial" w:cs="Arial"/>
        </w:rPr>
        <w:t xml:space="preserve">Senior Fellow and Principal Associate in Housing &amp; Communities Practice, </w:t>
      </w:r>
      <w:r w:rsidRPr="00177563">
        <w:rPr>
          <w:rFonts w:ascii="Arial" w:hAnsi="Arial" w:cs="Arial"/>
        </w:rPr>
        <w:t>Abt Associates</w:t>
      </w:r>
    </w:p>
    <w:p w:rsidR="00E73130" w:rsidRPr="00177563" w:rsidRDefault="00E73130" w:rsidP="00177563">
      <w:pPr>
        <w:pStyle w:val="ListParagraph"/>
        <w:numPr>
          <w:ilvl w:val="0"/>
          <w:numId w:val="3"/>
        </w:numPr>
        <w:spacing w:after="40" w:line="240" w:lineRule="auto"/>
        <w:ind w:left="1080" w:hanging="274"/>
        <w:contextualSpacing w:val="0"/>
        <w:rPr>
          <w:rFonts w:ascii="Arial" w:hAnsi="Arial" w:cs="Arial"/>
          <w:b/>
        </w:rPr>
      </w:pPr>
      <w:r w:rsidRPr="00177563">
        <w:rPr>
          <w:rFonts w:ascii="Arial" w:hAnsi="Arial" w:cs="Arial"/>
          <w:b/>
        </w:rPr>
        <w:t>Gretchen Locke</w:t>
      </w:r>
      <w:r w:rsidRPr="00177563">
        <w:rPr>
          <w:rFonts w:ascii="Arial" w:hAnsi="Arial" w:cs="Arial"/>
        </w:rPr>
        <w:t xml:space="preserve">, </w:t>
      </w:r>
      <w:r w:rsidR="00792171" w:rsidRPr="00177563">
        <w:rPr>
          <w:rFonts w:ascii="Arial" w:hAnsi="Arial" w:cs="Arial"/>
        </w:rPr>
        <w:t xml:space="preserve">Senior Associate, Housing &amp; Communities Practice, </w:t>
      </w:r>
      <w:r w:rsidRPr="00177563">
        <w:rPr>
          <w:rFonts w:ascii="Arial" w:hAnsi="Arial" w:cs="Arial"/>
        </w:rPr>
        <w:t>Abt Associates</w:t>
      </w:r>
    </w:p>
    <w:p w:rsidR="00E73130" w:rsidRPr="00177563" w:rsidRDefault="00E73130" w:rsidP="00177563">
      <w:pPr>
        <w:pStyle w:val="ListParagraph"/>
        <w:numPr>
          <w:ilvl w:val="0"/>
          <w:numId w:val="3"/>
        </w:numPr>
        <w:spacing w:after="40"/>
        <w:ind w:left="1080" w:hanging="274"/>
        <w:contextualSpacing w:val="0"/>
        <w:rPr>
          <w:rFonts w:ascii="Arial" w:hAnsi="Arial" w:cs="Arial"/>
        </w:rPr>
      </w:pPr>
      <w:r w:rsidRPr="00177563">
        <w:rPr>
          <w:rFonts w:ascii="Arial" w:hAnsi="Arial" w:cs="Arial"/>
          <w:b/>
        </w:rPr>
        <w:t>Kevin Martone</w:t>
      </w:r>
      <w:r w:rsidRPr="00177563">
        <w:rPr>
          <w:rFonts w:ascii="Arial" w:hAnsi="Arial" w:cs="Arial"/>
        </w:rPr>
        <w:t xml:space="preserve">, Executive Director, Technical Assistance Collaborative </w:t>
      </w:r>
    </w:p>
    <w:p w:rsidR="00E73130" w:rsidRPr="00177563" w:rsidRDefault="00E73130" w:rsidP="00177563">
      <w:pPr>
        <w:pStyle w:val="ListParagraph"/>
        <w:numPr>
          <w:ilvl w:val="0"/>
          <w:numId w:val="3"/>
        </w:numPr>
        <w:spacing w:after="40"/>
        <w:ind w:left="1080" w:hanging="274"/>
        <w:contextualSpacing w:val="0"/>
        <w:rPr>
          <w:rFonts w:ascii="Arial" w:hAnsi="Arial" w:cs="Arial"/>
        </w:rPr>
      </w:pPr>
      <w:r w:rsidRPr="00177563">
        <w:rPr>
          <w:rFonts w:ascii="Arial" w:hAnsi="Arial" w:cs="Arial"/>
          <w:b/>
        </w:rPr>
        <w:t>Danna Mauch</w:t>
      </w:r>
      <w:r w:rsidRPr="00177563">
        <w:rPr>
          <w:rFonts w:ascii="Arial" w:hAnsi="Arial" w:cs="Arial"/>
        </w:rPr>
        <w:t xml:space="preserve">, </w:t>
      </w:r>
      <w:r w:rsidR="00792171" w:rsidRPr="00177563">
        <w:rPr>
          <w:rFonts w:ascii="Arial" w:hAnsi="Arial" w:cs="Arial"/>
        </w:rPr>
        <w:t xml:space="preserve">Senior Fellow and Principal Associate in U.S. Health Division, </w:t>
      </w:r>
      <w:r w:rsidRPr="00177563">
        <w:rPr>
          <w:rFonts w:ascii="Arial" w:hAnsi="Arial" w:cs="Arial"/>
        </w:rPr>
        <w:t>Abt Associates</w:t>
      </w:r>
    </w:p>
    <w:p w:rsidR="00050D87" w:rsidRPr="00177563" w:rsidRDefault="00E73130" w:rsidP="00177563">
      <w:pPr>
        <w:pStyle w:val="ListParagraph"/>
        <w:numPr>
          <w:ilvl w:val="0"/>
          <w:numId w:val="3"/>
        </w:numPr>
        <w:spacing w:after="240" w:line="240" w:lineRule="auto"/>
        <w:ind w:left="1080" w:hanging="270"/>
        <w:rPr>
          <w:rFonts w:ascii="Arial" w:hAnsi="Arial" w:cs="Arial"/>
        </w:rPr>
      </w:pPr>
      <w:r w:rsidRPr="00177563">
        <w:rPr>
          <w:rFonts w:ascii="Arial" w:hAnsi="Arial" w:cs="Arial"/>
          <w:b/>
        </w:rPr>
        <w:t>Charles Milligan</w:t>
      </w:r>
      <w:r w:rsidR="0062088A" w:rsidRPr="00177563">
        <w:rPr>
          <w:rFonts w:ascii="Arial" w:hAnsi="Arial" w:cs="Arial"/>
          <w:b/>
        </w:rPr>
        <w:t xml:space="preserve"> Jr.</w:t>
      </w:r>
      <w:r w:rsidRPr="00177563">
        <w:rPr>
          <w:rFonts w:ascii="Arial" w:hAnsi="Arial" w:cs="Arial"/>
        </w:rPr>
        <w:t xml:space="preserve">, </w:t>
      </w:r>
      <w:r w:rsidR="00050D87" w:rsidRPr="00177563">
        <w:rPr>
          <w:rFonts w:ascii="Arial" w:hAnsi="Arial" w:cs="Arial"/>
        </w:rPr>
        <w:t xml:space="preserve">Deputy Secretary for Health Care Financing, overseeing the Medicaid program and ACA activities for the State of Maryland </w:t>
      </w:r>
    </w:p>
    <w:p w:rsidR="00DA2B74" w:rsidRPr="00177563" w:rsidRDefault="00DA2B74" w:rsidP="00DA2B74">
      <w:pPr>
        <w:spacing w:after="240" w:line="240" w:lineRule="auto"/>
        <w:rPr>
          <w:rFonts w:ascii="Arial" w:hAnsi="Arial" w:cs="Arial"/>
        </w:rPr>
      </w:pPr>
      <w:r w:rsidRPr="00177563">
        <w:rPr>
          <w:rFonts w:ascii="Arial" w:hAnsi="Arial" w:cs="Arial"/>
          <w:b/>
          <w:color w:val="DA291C"/>
        </w:rPr>
        <w:t>To register</w:t>
      </w:r>
      <w:r w:rsidR="00177563" w:rsidRPr="00177563">
        <w:rPr>
          <w:rFonts w:ascii="Arial" w:hAnsi="Arial" w:cs="Arial"/>
          <w:b/>
          <w:color w:val="DA291C"/>
        </w:rPr>
        <w:t xml:space="preserve"> </w:t>
      </w:r>
      <w:r w:rsidRPr="00177563">
        <w:rPr>
          <w:rFonts w:ascii="Arial" w:hAnsi="Arial" w:cs="Arial"/>
          <w:b/>
          <w:color w:val="DA291C"/>
        </w:rPr>
        <w:t>visit:</w:t>
      </w:r>
      <w:r w:rsidRPr="00177563">
        <w:rPr>
          <w:rFonts w:ascii="Arial" w:hAnsi="Arial" w:cs="Arial"/>
          <w:color w:val="DA291C"/>
        </w:rPr>
        <w:t xml:space="preserve"> </w:t>
      </w:r>
      <w:hyperlink r:id="rId12" w:history="1">
        <w:r w:rsidR="00DF36CC" w:rsidRPr="001271E1">
          <w:rPr>
            <w:rStyle w:val="Hyperlink"/>
            <w:rFonts w:ascii="Arial" w:hAnsi="Arial" w:cs="Arial"/>
            <w:b/>
          </w:rPr>
          <w:t>http://login.icohere.com/registration/register.cfm?reg=941&amp;evt=Jan24</w:t>
        </w:r>
      </w:hyperlink>
    </w:p>
    <w:p w:rsidR="008813E7" w:rsidRPr="009A0BC5" w:rsidRDefault="008813E7" w:rsidP="00DA2B74">
      <w:pPr>
        <w:spacing w:after="240" w:line="240" w:lineRule="auto"/>
        <w:rPr>
          <w:rFonts w:ascii="Times New Roman" w:hAnsi="Times New Roman"/>
          <w:i/>
          <w:sz w:val="20"/>
          <w:szCs w:val="20"/>
        </w:rPr>
      </w:pPr>
      <w:r w:rsidRPr="009A0BC5">
        <w:rPr>
          <w:rFonts w:ascii="Times New Roman" w:hAnsi="Times New Roman"/>
          <w:i/>
          <w:sz w:val="20"/>
          <w:szCs w:val="20"/>
        </w:rPr>
        <w:t xml:space="preserve">*Please note: Speakers </w:t>
      </w:r>
      <w:r w:rsidR="0062088A" w:rsidRPr="009A0BC5">
        <w:rPr>
          <w:rFonts w:ascii="Times New Roman" w:hAnsi="Times New Roman"/>
          <w:i/>
          <w:sz w:val="20"/>
          <w:szCs w:val="20"/>
        </w:rPr>
        <w:t>do not imply</w:t>
      </w:r>
      <w:r w:rsidR="009A0BC5" w:rsidRPr="009A0BC5">
        <w:rPr>
          <w:rFonts w:ascii="Times New Roman" w:hAnsi="Times New Roman"/>
          <w:i/>
          <w:sz w:val="20"/>
          <w:szCs w:val="20"/>
        </w:rPr>
        <w:t xml:space="preserve"> sponsorship of this event or endorsement of Abt Associates</w:t>
      </w:r>
      <w:r w:rsidR="0062088A" w:rsidRPr="009A0BC5">
        <w:rPr>
          <w:rFonts w:ascii="Times New Roman" w:hAnsi="Times New Roman"/>
          <w:i/>
          <w:sz w:val="20"/>
          <w:szCs w:val="20"/>
        </w:rPr>
        <w:t xml:space="preserve">. </w:t>
      </w:r>
    </w:p>
    <w:sectPr w:rsidR="008813E7" w:rsidRPr="009A0BC5" w:rsidSect="00177563">
      <w:pgSz w:w="12240" w:h="12240"/>
      <w:pgMar w:top="36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54634"/>
    <w:multiLevelType w:val="hybridMultilevel"/>
    <w:tmpl w:val="E508F1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45F0E16"/>
    <w:multiLevelType w:val="hybridMultilevel"/>
    <w:tmpl w:val="255A4D72"/>
    <w:lvl w:ilvl="0" w:tplc="0F5EFDA4">
      <w:start w:val="1"/>
      <w:numFmt w:val="bullet"/>
      <w:lvlText w:val=""/>
      <w:lvlJc w:val="left"/>
      <w:pPr>
        <w:ind w:left="720" w:hanging="360"/>
      </w:pPr>
      <w:rPr>
        <w:rFonts w:ascii="Symbol" w:hAnsi="Symbol" w:hint="default"/>
        <w:color w:val="DA29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891C40"/>
    <w:multiLevelType w:val="hybridMultilevel"/>
    <w:tmpl w:val="A438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1FCA"/>
    <w:rsid w:val="00050D87"/>
    <w:rsid w:val="001271E1"/>
    <w:rsid w:val="00177563"/>
    <w:rsid w:val="003177E2"/>
    <w:rsid w:val="00387917"/>
    <w:rsid w:val="0041167A"/>
    <w:rsid w:val="00531FCA"/>
    <w:rsid w:val="0062088A"/>
    <w:rsid w:val="00731F59"/>
    <w:rsid w:val="00792171"/>
    <w:rsid w:val="008813E7"/>
    <w:rsid w:val="008B2393"/>
    <w:rsid w:val="0092319F"/>
    <w:rsid w:val="009A0BC5"/>
    <w:rsid w:val="00A34B42"/>
    <w:rsid w:val="00A8627A"/>
    <w:rsid w:val="00AC0A66"/>
    <w:rsid w:val="00C67C30"/>
    <w:rsid w:val="00CA60DB"/>
    <w:rsid w:val="00DA2B74"/>
    <w:rsid w:val="00DA491E"/>
    <w:rsid w:val="00DB6B6B"/>
    <w:rsid w:val="00DF36CC"/>
    <w:rsid w:val="00E731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FC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D87"/>
    <w:pPr>
      <w:ind w:left="720"/>
      <w:contextualSpacing/>
    </w:pPr>
  </w:style>
  <w:style w:type="paragraph" w:styleId="BalloonText">
    <w:name w:val="Balloon Text"/>
    <w:basedOn w:val="Normal"/>
    <w:link w:val="BalloonTextChar"/>
    <w:uiPriority w:val="99"/>
    <w:semiHidden/>
    <w:unhideWhenUsed/>
    <w:rsid w:val="00177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563"/>
    <w:rPr>
      <w:rFonts w:ascii="Tahoma" w:hAnsi="Tahoma" w:cs="Tahoma"/>
      <w:sz w:val="16"/>
      <w:szCs w:val="16"/>
    </w:rPr>
  </w:style>
  <w:style w:type="character" w:styleId="Hyperlink">
    <w:name w:val="Hyperlink"/>
    <w:basedOn w:val="DefaultParagraphFont"/>
    <w:uiPriority w:val="99"/>
    <w:unhideWhenUsed/>
    <w:rsid w:val="001271E1"/>
    <w:rPr>
      <w:color w:val="0000FF" w:themeColor="hyperlink"/>
      <w:u w:val="single"/>
    </w:rPr>
  </w:style>
  <w:style w:type="character" w:styleId="FollowedHyperlink">
    <w:name w:val="FollowedHyperlink"/>
    <w:basedOn w:val="DefaultParagraphFont"/>
    <w:uiPriority w:val="99"/>
    <w:semiHidden/>
    <w:unhideWhenUsed/>
    <w:rsid w:val="00A862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FC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D87"/>
    <w:pPr>
      <w:ind w:left="720"/>
      <w:contextualSpacing/>
    </w:pPr>
  </w:style>
  <w:style w:type="paragraph" w:styleId="BalloonText">
    <w:name w:val="Balloon Text"/>
    <w:basedOn w:val="Normal"/>
    <w:link w:val="BalloonTextChar"/>
    <w:uiPriority w:val="99"/>
    <w:semiHidden/>
    <w:unhideWhenUsed/>
    <w:rsid w:val="00177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563"/>
    <w:rPr>
      <w:rFonts w:ascii="Tahoma" w:hAnsi="Tahoma" w:cs="Tahoma"/>
      <w:sz w:val="16"/>
      <w:szCs w:val="16"/>
    </w:rPr>
  </w:style>
  <w:style w:type="character" w:styleId="Hyperlink">
    <w:name w:val="Hyperlink"/>
    <w:basedOn w:val="DefaultParagraphFont"/>
    <w:uiPriority w:val="99"/>
    <w:unhideWhenUsed/>
    <w:rsid w:val="001271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019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login.icohere.com/registration/register.cfm?reg=941&amp;evt=Jan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hdphoto" Target="media/hdphoto1.wdp"/><Relationship Id="rId5" Type="http://schemas.openxmlformats.org/officeDocument/2006/relationships/image" Target="media/image1.jpeg"/><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Broder</dc:creator>
  <cp:lastModifiedBy>Francine Arienti</cp:lastModifiedBy>
  <cp:revision>2</cp:revision>
  <cp:lastPrinted>2014-01-08T13:57:00Z</cp:lastPrinted>
  <dcterms:created xsi:type="dcterms:W3CDTF">2014-01-08T14:31:00Z</dcterms:created>
  <dcterms:modified xsi:type="dcterms:W3CDTF">2014-01-08T14:31:00Z</dcterms:modified>
</cp:coreProperties>
</file>